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4C26AB"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4C26AB"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4C26AB"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4C26AB"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4C26AB"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4C26AB"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4C26AB"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4C26AB"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4C26AB"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3BC94FB9" w:rsidR="006F5157" w:rsidRPr="00452029" w:rsidRDefault="003E5569" w:rsidP="00452029">
      <w:pPr>
        <w:pStyle w:val="Paragraphedeliste"/>
        <w:numPr>
          <w:ilvl w:val="0"/>
          <w:numId w:val="12"/>
        </w:numPr>
        <w:spacing w:after="0"/>
        <w:jc w:val="both"/>
        <w:rPr>
          <w:rFonts w:cstheme="minorHAnsi"/>
          <w:sz w:val="20"/>
          <w:szCs w:val="20"/>
        </w:rPr>
      </w:pPr>
      <w:r w:rsidRPr="00E656FF">
        <w:rPr>
          <w:rFonts w:cstheme="minorHAnsi"/>
          <w:sz w:val="20"/>
          <w:szCs w:val="20"/>
        </w:rPr>
        <w:t>OPTION 1</w:t>
      </w:r>
      <w:r w:rsidR="009C7B1A" w:rsidRPr="00E656FF">
        <w:rPr>
          <w:rFonts w:cstheme="minorHAnsi"/>
          <w:sz w:val="20"/>
          <w:szCs w:val="20"/>
        </w:rPr>
        <w:t> : AUTORISATION SPECIFIQUE PREALABLE</w:t>
      </w:r>
      <w:r w:rsidR="007D4E92" w:rsidRPr="00E656FF">
        <w:rPr>
          <w:rFonts w:cstheme="minorHAnsi"/>
          <w:sz w:val="20"/>
          <w:szCs w:val="20"/>
        </w:rPr>
        <w:t xml:space="preserve"> </w:t>
      </w:r>
      <w:r w:rsidRPr="00E656FF">
        <w:rPr>
          <w:rFonts w:cstheme="minorHAnsi"/>
          <w:sz w:val="20"/>
          <w:szCs w:val="20"/>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w:t>
      </w:r>
      <w:r w:rsidR="006F5157" w:rsidRPr="00E656FF">
        <w:rPr>
          <w:rFonts w:cstheme="minorHAnsi"/>
          <w:sz w:val="20"/>
          <w:szCs w:val="20"/>
        </w:rPr>
        <w:t xml:space="preserve">moins </w:t>
      </w:r>
      <w:r w:rsidR="003960FC" w:rsidRPr="00E656FF">
        <w:rPr>
          <w:rFonts w:cstheme="minorHAnsi"/>
          <w:sz w:val="20"/>
          <w:szCs w:val="20"/>
        </w:rPr>
        <w:t>deux</w:t>
      </w:r>
      <w:r w:rsidR="008E41AC" w:rsidRPr="00E656FF">
        <w:rPr>
          <w:rFonts w:cstheme="minorHAnsi"/>
          <w:sz w:val="20"/>
          <w:szCs w:val="20"/>
        </w:rPr>
        <w:t xml:space="preserve"> </w:t>
      </w:r>
      <w:r w:rsidR="006D489D" w:rsidRPr="00E656FF">
        <w:rPr>
          <w:rFonts w:cstheme="minorHAnsi"/>
          <w:sz w:val="20"/>
          <w:szCs w:val="20"/>
        </w:rPr>
        <w:t>mois</w:t>
      </w:r>
      <w:r w:rsidR="00E656FF" w:rsidRPr="00E656FF">
        <w:rPr>
          <w:rFonts w:cstheme="minorHAnsi"/>
          <w:sz w:val="20"/>
          <w:szCs w:val="20"/>
        </w:rPr>
        <w:t xml:space="preserve"> </w:t>
      </w:r>
      <w:r w:rsidR="006F5157" w:rsidRPr="00E656FF">
        <w:rPr>
          <w:rFonts w:cstheme="minorHAnsi"/>
          <w:sz w:val="20"/>
          <w:szCs w:val="20"/>
        </w:rPr>
        <w:t>avant</w:t>
      </w:r>
      <w:r w:rsidR="006F5157" w:rsidRPr="00452029">
        <w:rPr>
          <w:rFonts w:cstheme="minorHAnsi"/>
          <w:sz w:val="20"/>
          <w:szCs w:val="20"/>
        </w:rPr>
        <w:t xml:space="preserve">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E656FF"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0F798585" w14:textId="0F4A5B7D" w:rsidR="00E656FF" w:rsidRPr="004361DE" w:rsidRDefault="00E656FF" w:rsidP="00E656FF">
      <w:pPr>
        <w:pStyle w:val="Paragraphedeliste"/>
        <w:jc w:val="both"/>
      </w:pPr>
      <w:r w:rsidRPr="00E656FF">
        <w:rPr>
          <w:rFonts w:cstheme="minorHAnsi"/>
          <w:sz w:val="20"/>
          <w:szCs w:val="20"/>
        </w:rPr>
        <w:t>Jérôme Labadie</w:t>
      </w:r>
      <w:r>
        <w:rPr>
          <w:rFonts w:cstheme="minorHAnsi"/>
          <w:sz w:val="20"/>
          <w:szCs w:val="20"/>
          <w:u w:val="single"/>
        </w:rPr>
        <w:t xml:space="preserve"> </w:t>
      </w:r>
      <w:r>
        <w:t>– Responsable département Immobilier Site Bordeaux – jerome.labadie@caissedesdepots.fr</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4C26AB" w:rsidP="000272D9">
      <w:pPr>
        <w:pStyle w:val="Paragraphedeliste"/>
        <w:rPr>
          <w:rFonts w:cstheme="minorHAnsi"/>
          <w:sz w:val="20"/>
          <w:szCs w:val="20"/>
        </w:rPr>
      </w:pPr>
      <w:hyperlink r:id="rId8"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(co-)</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6A7785" w:rsidRPr="004C310E">
        <w:rPr>
          <w:rFonts w:cstheme="minorHAnsi"/>
          <w:bCs/>
          <w:sz w:val="20"/>
          <w:szCs w:val="20"/>
        </w:rPr>
        <w:t>[</w:t>
      </w:r>
      <w:r w:rsidRPr="004C310E">
        <w:rPr>
          <w:rFonts w:cstheme="minorHAnsi"/>
          <w:bCs/>
          <w:sz w:val="20"/>
          <w:szCs w:val="20"/>
          <w:highlight w:val="yellow"/>
        </w:rPr>
        <w:t>….</w:t>
      </w:r>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01A63B1E" w14:textId="6608FB48" w:rsidR="00A83124" w:rsidRPr="00E656FF" w:rsidRDefault="00E656FF" w:rsidP="00A83124">
            <w:pPr>
              <w:jc w:val="both"/>
              <w:rPr>
                <w:rFonts w:cstheme="minorHAnsi"/>
                <w:bCs/>
                <w:sz w:val="20"/>
                <w:szCs w:val="20"/>
              </w:rPr>
            </w:pPr>
            <w:r w:rsidRPr="00E656FF">
              <w:rPr>
                <w:rFonts w:cstheme="minorHAnsi"/>
                <w:bCs/>
                <w:sz w:val="20"/>
                <w:szCs w:val="20"/>
              </w:rPr>
              <w:t>Prestations de maintenance sur plusieurs corps techniques batimentaires</w:t>
            </w:r>
          </w:p>
          <w:p w14:paraId="1CAD98C2" w14:textId="5CD12B23" w:rsidR="00E656FF" w:rsidRPr="00E656FF" w:rsidRDefault="00E656FF" w:rsidP="00A83124">
            <w:pPr>
              <w:jc w:val="both"/>
              <w:rPr>
                <w:rFonts w:cstheme="minorHAnsi"/>
                <w:bCs/>
                <w:sz w:val="20"/>
                <w:szCs w:val="20"/>
                <w:highlight w:val="yellow"/>
              </w:rPr>
            </w:pP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68634904" w14:textId="6FC2F593" w:rsidR="00103476" w:rsidRPr="00E656FF" w:rsidRDefault="00E656FF" w:rsidP="00452029">
            <w:pPr>
              <w:jc w:val="both"/>
              <w:rPr>
                <w:rFonts w:cstheme="minorHAnsi"/>
                <w:bCs/>
                <w:sz w:val="20"/>
                <w:szCs w:val="20"/>
              </w:rPr>
            </w:pPr>
            <w:r w:rsidRPr="00E656FF">
              <w:rPr>
                <w:rFonts w:cstheme="minorHAnsi"/>
                <w:bCs/>
                <w:sz w:val="20"/>
                <w:szCs w:val="20"/>
              </w:rPr>
              <w:t xml:space="preserve">Dans le cadre des demandes d’intervention sur l’outil de GMAO (Gestion </w:t>
            </w:r>
            <w:r>
              <w:rPr>
                <w:rFonts w:cstheme="minorHAnsi"/>
                <w:bCs/>
                <w:sz w:val="20"/>
                <w:szCs w:val="20"/>
              </w:rPr>
              <w:t>de maintenance assistée par ordinateur), suivre les demandes des collaborateurs et y répondre.</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291D7BCF" w14:textId="635F9224" w:rsidR="00E656FF" w:rsidRPr="00E656FF" w:rsidRDefault="00E656FF" w:rsidP="00E656FF">
            <w:pPr>
              <w:jc w:val="both"/>
              <w:rPr>
                <w:rFonts w:cstheme="minorHAnsi"/>
                <w:bCs/>
                <w:iCs/>
                <w:sz w:val="18"/>
                <w:szCs w:val="18"/>
              </w:rPr>
            </w:pPr>
            <w:r>
              <w:rPr>
                <w:rFonts w:cstheme="minorHAnsi"/>
                <w:bCs/>
                <w:iCs/>
                <w:sz w:val="18"/>
                <w:szCs w:val="18"/>
              </w:rPr>
              <w:t>Nom, prénom, localisation (Etage, n° de pièce)</w:t>
            </w:r>
          </w:p>
          <w:p w14:paraId="56665DC4" w14:textId="2553ED68" w:rsidR="00103476" w:rsidRPr="009D79AF" w:rsidRDefault="00103476" w:rsidP="00452029">
            <w:pPr>
              <w:spacing w:line="259" w:lineRule="auto"/>
              <w:jc w:val="both"/>
              <w:rPr>
                <w:rFonts w:cstheme="minorHAnsi"/>
                <w:bCs/>
                <w:i/>
                <w:sz w:val="18"/>
                <w:szCs w:val="18"/>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608687F4" w14:textId="22355906" w:rsidR="00103476" w:rsidRPr="00E656FF" w:rsidRDefault="00E656FF" w:rsidP="00452029">
            <w:pPr>
              <w:jc w:val="both"/>
              <w:rPr>
                <w:rFonts w:cstheme="minorHAnsi"/>
                <w:bCs/>
                <w:sz w:val="20"/>
                <w:szCs w:val="20"/>
              </w:rPr>
            </w:pPr>
            <w:r w:rsidRPr="00E656FF">
              <w:rPr>
                <w:rFonts w:cstheme="minorHAnsi"/>
                <w:bCs/>
                <w:sz w:val="20"/>
                <w:szCs w:val="20"/>
              </w:rPr>
              <w:t>Collaborateurs groupe CDC du site de Bordeaux</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12BB9BCF" w14:textId="2A534CD3" w:rsidR="00103476" w:rsidRPr="00E656FF" w:rsidRDefault="00E656FF" w:rsidP="00E067FE">
            <w:pPr>
              <w:jc w:val="both"/>
              <w:rPr>
                <w:rFonts w:cstheme="minorHAnsi"/>
                <w:b/>
                <w:sz w:val="20"/>
                <w:szCs w:val="20"/>
                <w:u w:val="single"/>
              </w:rPr>
            </w:pPr>
            <w:r w:rsidRPr="00E656FF">
              <w:rPr>
                <w:rFonts w:cstheme="minorHAnsi"/>
                <w:sz w:val="18"/>
                <w:szCs w:val="18"/>
              </w:rPr>
              <w:t>Consultation, utilisation.</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6544966E" w:rsidR="00103476" w:rsidRPr="00E656FF" w:rsidRDefault="00E656FF" w:rsidP="00452029">
            <w:pPr>
              <w:jc w:val="both"/>
              <w:rPr>
                <w:rFonts w:cstheme="minorHAnsi"/>
                <w:bCs/>
                <w:i/>
                <w:iCs/>
                <w:sz w:val="20"/>
                <w:szCs w:val="20"/>
              </w:rPr>
            </w:pPr>
            <w:r w:rsidRPr="00E656FF">
              <w:rPr>
                <w:rFonts w:cstheme="minorHAnsi"/>
                <w:bCs/>
                <w:sz w:val="20"/>
                <w:szCs w:val="20"/>
              </w:rPr>
              <w:t>Durée du marché</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7FB0BC18" w:rsidR="00943341" w:rsidRPr="00D92205" w:rsidRDefault="00A70C73" w:rsidP="00461C79">
            <w:pPr>
              <w:jc w:val="both"/>
              <w:rPr>
                <w:rFonts w:cstheme="minorHAnsi"/>
                <w:sz w:val="17"/>
                <w:szCs w:val="17"/>
              </w:rPr>
            </w:pPr>
            <w:r w:rsidRPr="00452029">
              <w:rPr>
                <w:rFonts w:cstheme="minorHAnsi"/>
                <w:sz w:val="18"/>
                <w:szCs w:val="18"/>
              </w:rPr>
              <w:t xml:space="preserve"> </w:t>
            </w:r>
            <w:r w:rsidR="00E656FF">
              <w:rPr>
                <w:rFonts w:cstheme="minorHAnsi"/>
                <w:b/>
                <w:bCs/>
                <w:sz w:val="17"/>
                <w:szCs w:val="17"/>
              </w:rPr>
              <w:t>NON</w:t>
            </w:r>
            <w:r w:rsidRPr="00D92205">
              <w:rPr>
                <w:rFonts w:cstheme="minorHAnsi"/>
                <w:sz w:val="17"/>
                <w:szCs w:val="17"/>
              </w:rPr>
              <w:t xml:space="preserve">    </w:t>
            </w:r>
          </w:p>
          <w:p w14:paraId="4EB37101" w14:textId="3A2CE12D" w:rsidR="006B21CF" w:rsidRPr="00452029" w:rsidRDefault="006B21CF" w:rsidP="00E067FE">
            <w:pPr>
              <w:jc w:val="both"/>
              <w:rPr>
                <w:rFonts w:cstheme="minorHAnsi"/>
                <w:b/>
                <w:sz w:val="20"/>
                <w:szCs w:val="20"/>
                <w:u w:val="single"/>
              </w:rPr>
            </w:pPr>
          </w:p>
        </w:tc>
      </w:tr>
    </w:tbl>
    <w:p w14:paraId="3D8A33CE" w14:textId="59137C39" w:rsidR="006F5157" w:rsidRPr="00997304" w:rsidRDefault="006F5157" w:rsidP="004237FD">
      <w:pPr>
        <w:pStyle w:val="Titre1"/>
        <w:rPr>
          <w:rFonts w:asciiTheme="minorHAnsi" w:hAnsiTheme="minorHAnsi" w:cstheme="minorHAnsi"/>
          <w:sz w:val="22"/>
          <w:szCs w:val="22"/>
        </w:rPr>
      </w:pPr>
      <w:bookmarkStart w:id="29" w:name="_Toc160105161"/>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29"/>
    </w:p>
    <w:p w14:paraId="6F997708" w14:textId="77777777" w:rsidR="005C5F21" w:rsidRPr="00997304" w:rsidRDefault="005C5F21" w:rsidP="00D92205">
      <w:pPr>
        <w:spacing w:after="0" w:line="240" w:lineRule="exact"/>
        <w:rPr>
          <w:rFonts w:cstheme="minorHAnsi"/>
        </w:rPr>
      </w:pPr>
    </w:p>
    <w:p w14:paraId="4BEEF2FC" w14:textId="77777777" w:rsidR="004F3E58" w:rsidRPr="00430898" w:rsidRDefault="004F3E58" w:rsidP="00D92205">
      <w:pPr>
        <w:spacing w:after="0" w:line="240" w:lineRule="exact"/>
        <w:jc w:val="both"/>
        <w:rPr>
          <w:rFonts w:cstheme="minorHAnsi"/>
          <w:sz w:val="20"/>
          <w:szCs w:val="20"/>
        </w:rPr>
      </w:pPr>
    </w:p>
    <w:p w14:paraId="74FBCA59" w14:textId="0DF3FAAB" w:rsidR="001C7177" w:rsidRDefault="004C26AB" w:rsidP="004C26AB">
      <w:pPr>
        <w:pStyle w:val="Paragraphedeliste"/>
        <w:numPr>
          <w:ilvl w:val="0"/>
          <w:numId w:val="102"/>
        </w:numPr>
        <w:spacing w:after="0" w:line="240" w:lineRule="exact"/>
        <w:jc w:val="both"/>
        <w:rPr>
          <w:rFonts w:cstheme="minorHAnsi"/>
          <w:sz w:val="20"/>
          <w:szCs w:val="20"/>
        </w:rPr>
      </w:pPr>
      <w:r>
        <w:rPr>
          <w:rFonts w:cstheme="minorHAnsi"/>
          <w:sz w:val="20"/>
          <w:szCs w:val="20"/>
        </w:rPr>
        <w:t>Obligation de confidentialité.</w:t>
      </w:r>
    </w:p>
    <w:p w14:paraId="439443F8" w14:textId="045A49FF" w:rsidR="004C26AB" w:rsidRPr="004C26AB" w:rsidRDefault="004C26AB" w:rsidP="004C26AB">
      <w:pPr>
        <w:pStyle w:val="Paragraphedeliste"/>
        <w:numPr>
          <w:ilvl w:val="0"/>
          <w:numId w:val="102"/>
        </w:numPr>
        <w:spacing w:after="0" w:line="240" w:lineRule="exact"/>
        <w:jc w:val="both"/>
        <w:rPr>
          <w:rFonts w:cstheme="minorHAnsi"/>
          <w:sz w:val="20"/>
          <w:szCs w:val="20"/>
        </w:rPr>
      </w:pPr>
      <w:r>
        <w:rPr>
          <w:rFonts w:cstheme="minorHAnsi"/>
          <w:sz w:val="20"/>
          <w:szCs w:val="20"/>
        </w:rPr>
        <w:t>Interdiction d’exporter les données personnelles à l’extérieur du SI CDC.</w:t>
      </w: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0"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0"/>
    </w:p>
    <w:p w14:paraId="32A4F004" w14:textId="05355B50" w:rsidR="006F5157" w:rsidRDefault="006F5157" w:rsidP="00D92205">
      <w:pPr>
        <w:spacing w:after="0" w:line="240" w:lineRule="exact"/>
        <w:jc w:val="both"/>
        <w:rPr>
          <w:rFonts w:cstheme="minorHAnsi"/>
        </w:rPr>
      </w:pP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2"/>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Ex : SuperCloud</w:t>
            </w:r>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Data Privacy</w:t>
            </w:r>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4C26AB" w:rsidRPr="00EB40B2" w14:paraId="1A3E4613" w14:textId="77777777" w:rsidTr="005A4C49">
        <w:trPr>
          <w:trHeight w:val="209"/>
        </w:trPr>
        <w:tc>
          <w:tcPr>
            <w:cnfStyle w:val="001000000000" w:firstRow="0" w:lastRow="0" w:firstColumn="1" w:lastColumn="0" w:oddVBand="0" w:evenVBand="0" w:oddHBand="0" w:evenHBand="0" w:firstRowFirstColumn="0" w:firstRowLastColumn="0" w:lastRowFirstColumn="0" w:lastRowLastColumn="0"/>
            <w:tcW w:w="10348" w:type="dxa"/>
            <w:gridSpan w:val="6"/>
          </w:tcPr>
          <w:p w14:paraId="5737C17D" w14:textId="77777777" w:rsidR="004C26AB" w:rsidRDefault="004C26AB" w:rsidP="00290749">
            <w:pPr>
              <w:jc w:val="both"/>
              <w:rPr>
                <w:rFonts w:cstheme="minorHAnsi"/>
                <w:sz w:val="16"/>
                <w:szCs w:val="16"/>
              </w:rPr>
            </w:pPr>
          </w:p>
          <w:p w14:paraId="1106CF79" w14:textId="1833F965" w:rsidR="004C26AB" w:rsidRDefault="004C26AB" w:rsidP="00290749">
            <w:pPr>
              <w:jc w:val="both"/>
              <w:rPr>
                <w:rFonts w:cstheme="minorHAnsi"/>
                <w:sz w:val="16"/>
                <w:szCs w:val="16"/>
              </w:rPr>
            </w:pPr>
            <w:r>
              <w:rPr>
                <w:rFonts w:cstheme="minorHAnsi"/>
                <w:b w:val="0"/>
                <w:bCs w:val="0"/>
                <w:sz w:val="16"/>
                <w:szCs w:val="16"/>
              </w:rPr>
              <w:t>Pas de données à caractère personnel traitées par les sous-traitants ultérieurs.</w:t>
            </w:r>
          </w:p>
          <w:p w14:paraId="7F87DD35" w14:textId="77777777" w:rsidR="004C26AB" w:rsidRPr="00452029" w:rsidRDefault="004C26AB" w:rsidP="00290749">
            <w:pPr>
              <w:jc w:val="both"/>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1" w:name="_Toc160105163"/>
      <w:r w:rsidRPr="00D12698">
        <w:rPr>
          <w:rFonts w:asciiTheme="minorHAnsi" w:hAnsiTheme="minorHAnsi" w:cstheme="minorHAnsi"/>
          <w:sz w:val="22"/>
          <w:szCs w:val="22"/>
        </w:rPr>
        <w:t xml:space="preserve">ANNEXE V - </w:t>
      </w:r>
      <w:r w:rsidR="00380E16" w:rsidRPr="00D12698">
        <w:rPr>
          <w:rFonts w:asciiTheme="minorHAnsi" w:hAnsiTheme="minorHAnsi" w:cstheme="minorHAnsi"/>
          <w:sz w:val="22"/>
          <w:szCs w:val="22"/>
        </w:rPr>
        <w:t>Stipulations complémentaires</w:t>
      </w:r>
      <w:bookmarkEnd w:id="31"/>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lastRenderedPageBreak/>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autorisation spécifique ou 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lastRenderedPageBreak/>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2"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3"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3"/>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3"/>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4"/>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5"/>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4" w:name="_Hlk162540592"/>
      <w:r w:rsidR="007B35F8" w:rsidRPr="00855C3E">
        <w:rPr>
          <w:sz w:val="20"/>
          <w:szCs w:val="20"/>
        </w:rPr>
        <w:t xml:space="preserve">CCT Transferts – module 3 </w:t>
      </w:r>
      <w:bookmarkEnd w:id="34"/>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6"/>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Data Privacy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7"/>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w:t>
      </w:r>
      <w:r w:rsidR="00A84E24" w:rsidRPr="00430898">
        <w:rPr>
          <w:sz w:val="20"/>
          <w:szCs w:val="20"/>
        </w:rPr>
        <w:lastRenderedPageBreak/>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2"/>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lastRenderedPageBreak/>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2"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Binding Corporate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3">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3" w:history="1">
        <w:r w:rsidRPr="00784361">
          <w:rPr>
            <w:rStyle w:val="Lienhypertexte"/>
            <w:rFonts w:cstheme="minorHAnsi"/>
            <w:sz w:val="17"/>
            <w:szCs w:val="17"/>
            <w:shd w:val="clear" w:color="auto" w:fill="FFFFFF"/>
          </w:rPr>
          <w:t>https://eur-lex.europa.eu/eli/dec_impl/2021/914/oj?uri=CELEX:32021D0914&amp;locale=fr</w:t>
        </w:r>
      </w:hyperlink>
    </w:p>
  </w:footnote>
  <w:footnote w:id="4">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4" w:history="1">
        <w:r w:rsidRPr="00DA374B">
          <w:rPr>
            <w:rStyle w:val="Lienhypertexte"/>
            <w:sz w:val="17"/>
            <w:szCs w:val="17"/>
          </w:rPr>
          <w:t>https://www.cnil.fr/fr/la-protection-des-donnees-dans-le-monde</w:t>
        </w:r>
      </w:hyperlink>
      <w:r w:rsidRPr="00DA374B">
        <w:rPr>
          <w:sz w:val="17"/>
          <w:szCs w:val="17"/>
        </w:rPr>
        <w:t xml:space="preserve"> </w:t>
      </w:r>
    </w:p>
  </w:footnote>
  <w:footnote w:id="5">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5"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6">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6"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7">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7"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8"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95358FB"/>
    <w:multiLevelType w:val="hybridMultilevel"/>
    <w:tmpl w:val="1CAC7098"/>
    <w:lvl w:ilvl="0" w:tplc="25FC9D74">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5"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0"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8"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0"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5"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9"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1"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2"/>
  </w:num>
  <w:num w:numId="4" w16cid:durableId="100106119">
    <w:abstractNumId w:val="2"/>
  </w:num>
  <w:num w:numId="5" w16cid:durableId="66617201">
    <w:abstractNumId w:val="17"/>
  </w:num>
  <w:num w:numId="6" w16cid:durableId="368073430">
    <w:abstractNumId w:val="11"/>
  </w:num>
  <w:num w:numId="7" w16cid:durableId="40904703">
    <w:abstractNumId w:val="50"/>
  </w:num>
  <w:num w:numId="8" w16cid:durableId="130248672">
    <w:abstractNumId w:val="80"/>
  </w:num>
  <w:num w:numId="9" w16cid:durableId="293412950">
    <w:abstractNumId w:val="16"/>
  </w:num>
  <w:num w:numId="10" w16cid:durableId="2112161915">
    <w:abstractNumId w:val="28"/>
  </w:num>
  <w:num w:numId="11" w16cid:durableId="1955479934">
    <w:abstractNumId w:val="88"/>
  </w:num>
  <w:num w:numId="12" w16cid:durableId="1275401641">
    <w:abstractNumId w:val="34"/>
  </w:num>
  <w:num w:numId="13" w16cid:durableId="208297451">
    <w:abstractNumId w:val="10"/>
  </w:num>
  <w:num w:numId="14" w16cid:durableId="622618649">
    <w:abstractNumId w:val="61"/>
  </w:num>
  <w:num w:numId="15" w16cid:durableId="1243182369">
    <w:abstractNumId w:val="54"/>
  </w:num>
  <w:num w:numId="16" w16cid:durableId="1398625178">
    <w:abstractNumId w:val="0"/>
  </w:num>
  <w:num w:numId="17" w16cid:durableId="1873959320">
    <w:abstractNumId w:val="65"/>
  </w:num>
  <w:num w:numId="18" w16cid:durableId="1440296132">
    <w:abstractNumId w:val="35"/>
  </w:num>
  <w:num w:numId="19" w16cid:durableId="1241988562">
    <w:abstractNumId w:val="58"/>
  </w:num>
  <w:num w:numId="20" w16cid:durableId="696082934">
    <w:abstractNumId w:val="49"/>
  </w:num>
  <w:num w:numId="21" w16cid:durableId="761606446">
    <w:abstractNumId w:val="63"/>
  </w:num>
  <w:num w:numId="22" w16cid:durableId="1528592923">
    <w:abstractNumId w:val="95"/>
  </w:num>
  <w:num w:numId="23" w16cid:durableId="209732561">
    <w:abstractNumId w:val="5"/>
  </w:num>
  <w:num w:numId="24" w16cid:durableId="813760979">
    <w:abstractNumId w:val="69"/>
  </w:num>
  <w:num w:numId="25" w16cid:durableId="2132823762">
    <w:abstractNumId w:val="68"/>
  </w:num>
  <w:num w:numId="26" w16cid:durableId="1680542450">
    <w:abstractNumId w:val="56"/>
  </w:num>
  <w:num w:numId="27" w16cid:durableId="1018967415">
    <w:abstractNumId w:val="73"/>
  </w:num>
  <w:num w:numId="28" w16cid:durableId="1782340786">
    <w:abstractNumId w:val="39"/>
  </w:num>
  <w:num w:numId="29" w16cid:durableId="1958632599">
    <w:abstractNumId w:val="52"/>
  </w:num>
  <w:num w:numId="30" w16cid:durableId="1449545290">
    <w:abstractNumId w:val="47"/>
  </w:num>
  <w:num w:numId="31" w16cid:durableId="2055689273">
    <w:abstractNumId w:val="79"/>
  </w:num>
  <w:num w:numId="32" w16cid:durableId="1920291230">
    <w:abstractNumId w:val="100"/>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4"/>
  </w:num>
  <w:num w:numId="38" w16cid:durableId="1035883137">
    <w:abstractNumId w:val="42"/>
  </w:num>
  <w:num w:numId="39" w16cid:durableId="2020502771">
    <w:abstractNumId w:val="74"/>
  </w:num>
  <w:num w:numId="40" w16cid:durableId="1851404422">
    <w:abstractNumId w:val="67"/>
  </w:num>
  <w:num w:numId="41" w16cid:durableId="745541236">
    <w:abstractNumId w:val="57"/>
  </w:num>
  <w:num w:numId="42" w16cid:durableId="1701278354">
    <w:abstractNumId w:val="29"/>
  </w:num>
  <w:num w:numId="43" w16cid:durableId="2137328851">
    <w:abstractNumId w:val="32"/>
  </w:num>
  <w:num w:numId="44" w16cid:durableId="1611085350">
    <w:abstractNumId w:val="36"/>
  </w:num>
  <w:num w:numId="45" w16cid:durableId="169610300">
    <w:abstractNumId w:val="72"/>
  </w:num>
  <w:num w:numId="46" w16cid:durableId="510224157">
    <w:abstractNumId w:val="13"/>
  </w:num>
  <w:num w:numId="47" w16cid:durableId="289670155">
    <w:abstractNumId w:val="83"/>
  </w:num>
  <w:num w:numId="48" w16cid:durableId="914583439">
    <w:abstractNumId w:val="66"/>
  </w:num>
  <w:num w:numId="49" w16cid:durableId="1395471696">
    <w:abstractNumId w:val="99"/>
  </w:num>
  <w:num w:numId="50" w16cid:durableId="611060444">
    <w:abstractNumId w:val="6"/>
  </w:num>
  <w:num w:numId="51" w16cid:durableId="1564019714">
    <w:abstractNumId w:val="25"/>
  </w:num>
  <w:num w:numId="52" w16cid:durableId="2018654521">
    <w:abstractNumId w:val="78"/>
  </w:num>
  <w:num w:numId="53" w16cid:durableId="1612587041">
    <w:abstractNumId w:val="81"/>
  </w:num>
  <w:num w:numId="54" w16cid:durableId="1847864772">
    <w:abstractNumId w:val="89"/>
  </w:num>
  <w:num w:numId="55" w16cid:durableId="1021199975">
    <w:abstractNumId w:val="9"/>
  </w:num>
  <w:num w:numId="56" w16cid:durableId="2094085599">
    <w:abstractNumId w:val="51"/>
  </w:num>
  <w:num w:numId="57" w16cid:durableId="1879395154">
    <w:abstractNumId w:val="76"/>
  </w:num>
  <w:num w:numId="58" w16cid:durableId="1085031833">
    <w:abstractNumId w:val="8"/>
  </w:num>
  <w:num w:numId="59" w16cid:durableId="1319310168">
    <w:abstractNumId w:val="48"/>
  </w:num>
  <w:num w:numId="60" w16cid:durableId="372968689">
    <w:abstractNumId w:val="43"/>
  </w:num>
  <w:num w:numId="61" w16cid:durableId="1598052128">
    <w:abstractNumId w:val="90"/>
  </w:num>
  <w:num w:numId="62" w16cid:durableId="311564762">
    <w:abstractNumId w:val="45"/>
  </w:num>
  <w:num w:numId="63" w16cid:durableId="1564219956">
    <w:abstractNumId w:val="96"/>
  </w:num>
  <w:num w:numId="64" w16cid:durableId="1240871798">
    <w:abstractNumId w:val="85"/>
  </w:num>
  <w:num w:numId="65" w16cid:durableId="1038507853">
    <w:abstractNumId w:val="46"/>
  </w:num>
  <w:num w:numId="66" w16cid:durableId="711924739">
    <w:abstractNumId w:val="53"/>
  </w:num>
  <w:num w:numId="67" w16cid:durableId="1072390450">
    <w:abstractNumId w:val="75"/>
  </w:num>
  <w:num w:numId="68" w16cid:durableId="650718916">
    <w:abstractNumId w:val="70"/>
  </w:num>
  <w:num w:numId="69" w16cid:durableId="259027228">
    <w:abstractNumId w:val="33"/>
  </w:num>
  <w:num w:numId="70" w16cid:durableId="521746409">
    <w:abstractNumId w:val="87"/>
  </w:num>
  <w:num w:numId="71" w16cid:durableId="1642610408">
    <w:abstractNumId w:val="86"/>
  </w:num>
  <w:num w:numId="72" w16cid:durableId="1645815816">
    <w:abstractNumId w:val="26"/>
  </w:num>
  <w:num w:numId="73" w16cid:durableId="1359548465">
    <w:abstractNumId w:val="21"/>
  </w:num>
  <w:num w:numId="74" w16cid:durableId="1322344471">
    <w:abstractNumId w:val="27"/>
  </w:num>
  <w:num w:numId="75" w16cid:durableId="1921064339">
    <w:abstractNumId w:val="77"/>
  </w:num>
  <w:num w:numId="76" w16cid:durableId="161900139">
    <w:abstractNumId w:val="64"/>
  </w:num>
  <w:num w:numId="77" w16cid:durableId="214703921">
    <w:abstractNumId w:val="23"/>
  </w:num>
  <w:num w:numId="78" w16cid:durableId="317853913">
    <w:abstractNumId w:val="15"/>
  </w:num>
  <w:num w:numId="79" w16cid:durableId="418141768">
    <w:abstractNumId w:val="7"/>
  </w:num>
  <w:num w:numId="80" w16cid:durableId="2117942878">
    <w:abstractNumId w:val="94"/>
  </w:num>
  <w:num w:numId="81" w16cid:durableId="227040620">
    <w:abstractNumId w:val="59"/>
  </w:num>
  <w:num w:numId="82" w16cid:durableId="238558043">
    <w:abstractNumId w:val="20"/>
  </w:num>
  <w:num w:numId="83" w16cid:durableId="1555001007">
    <w:abstractNumId w:val="12"/>
  </w:num>
  <w:num w:numId="84" w16cid:durableId="1698895351">
    <w:abstractNumId w:val="91"/>
  </w:num>
  <w:num w:numId="85" w16cid:durableId="204635537">
    <w:abstractNumId w:val="1"/>
  </w:num>
  <w:num w:numId="86" w16cid:durableId="185339333">
    <w:abstractNumId w:val="82"/>
  </w:num>
  <w:num w:numId="87" w16cid:durableId="2124225558">
    <w:abstractNumId w:val="30"/>
  </w:num>
  <w:num w:numId="88" w16cid:durableId="779027641">
    <w:abstractNumId w:val="55"/>
  </w:num>
  <w:num w:numId="89" w16cid:durableId="416752988">
    <w:abstractNumId w:val="101"/>
  </w:num>
  <w:num w:numId="90" w16cid:durableId="1469518990">
    <w:abstractNumId w:val="98"/>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7"/>
  </w:num>
  <w:num w:numId="96" w16cid:durableId="750129303">
    <w:abstractNumId w:val="31"/>
  </w:num>
  <w:num w:numId="97" w16cid:durableId="1751148697">
    <w:abstractNumId w:val="93"/>
  </w:num>
  <w:num w:numId="98" w16cid:durableId="2025667598">
    <w:abstractNumId w:val="22"/>
  </w:num>
  <w:num w:numId="99" w16cid:durableId="740713684">
    <w:abstractNumId w:val="92"/>
  </w:num>
  <w:num w:numId="100" w16cid:durableId="895244199">
    <w:abstractNumId w:val="71"/>
  </w:num>
  <w:num w:numId="101" w16cid:durableId="1196384538">
    <w:abstractNumId w:val="60"/>
  </w:num>
  <w:num w:numId="102" w16cid:durableId="1786851658">
    <w:abstractNumId w:val="4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6AB"/>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C314E"/>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56FF"/>
    <w:rsid w:val="00E666EC"/>
    <w:rsid w:val="00E67E04"/>
    <w:rsid w:val="00E72212"/>
    <w:rsid w:val="00E777B6"/>
    <w:rsid w:val="00E83289"/>
    <w:rsid w:val="00E848F1"/>
    <w:rsid w:val="00E8581B"/>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po@caissedesdepots.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dataprivacyframework.gov/list"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commission.europa.eu/law/law-topic/data-protection/international-dimension-data-protection/eu-us-data-transfers_en" TargetMode="External"/><Relationship Id="rId2" Type="http://schemas.openxmlformats.org/officeDocument/2006/relationships/hyperlink" Target="https://www.cnil.fr/fr/reglement-europeen-protection-donnees"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edpb.europa.eu/our-work-tools/documents/public-consultations/2020/recommendations-012020-measures-supplement_fr" TargetMode="External"/><Relationship Id="rId5" Type="http://schemas.openxmlformats.org/officeDocument/2006/relationships/hyperlink" Target="https://edpb.europa.eu/our-work-tools/our-documents/recommendations/recommendations-022020-european-essential-guarantees_fr" TargetMode="External"/><Relationship Id="rId4" Type="http://schemas.openxmlformats.org/officeDocument/2006/relationships/hyperlink" Target="https://www.cnil.fr/fr/la-protection-des-donnees-dans-le-mon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7507</Words>
  <Characters>41290</Characters>
  <Application>Microsoft Office Word</Application>
  <DocSecurity>0</DocSecurity>
  <Lines>344</Lines>
  <Paragraphs>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VIENNOT, Cyril</cp:lastModifiedBy>
  <cp:revision>3</cp:revision>
  <cp:lastPrinted>2024-04-25T17:33:00Z</cp:lastPrinted>
  <dcterms:created xsi:type="dcterms:W3CDTF">2024-10-01T14:57:00Z</dcterms:created>
  <dcterms:modified xsi:type="dcterms:W3CDTF">2025-09-16T08:52:00Z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